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97F0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42A8FEC" w:rsidR="00F92268" w:rsidRPr="00FF66BF" w:rsidRDefault="000D708C" w:rsidP="00F97F07">
            <w:pPr>
              <w:pStyle w:val="RefTableData"/>
            </w:pPr>
            <w:r>
              <w:t>2171-A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D06B6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0980BBF" w:rsidR="004B15BB" w:rsidRPr="00BD1CC1" w:rsidRDefault="000D708C" w:rsidP="007E5C16">
      <w:pPr>
        <w:pStyle w:val="Heading1"/>
      </w:pPr>
      <w:r>
        <w:t>S</w:t>
      </w:r>
      <w:r w:rsidRPr="000D708C">
        <w:t>pecialty Guideline Management</w:t>
      </w:r>
      <w:r w:rsidR="008C54D9" w:rsidRPr="00BD1CC1">
        <w:br/>
      </w:r>
      <w:proofErr w:type="spellStart"/>
      <w:r w:rsidRPr="000D708C">
        <w:t>Bosulif</w:t>
      </w:r>
      <w:proofErr w:type="spellEnd"/>
    </w:p>
    <w:p w14:paraId="78861C92" w14:textId="340AC4C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8CDF6D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A7073">
        <w:t>Over</w:t>
      </w:r>
      <w:r w:rsidR="003C0CB6">
        <w:t>-</w:t>
      </w:r>
      <w:proofErr w:type="spellStart"/>
      <w:r w:rsidR="00FA7073">
        <w:t>thecounter</w:t>
      </w:r>
      <w:proofErr w:type="spellEnd"/>
      <w:r w:rsidR="00FA7073">
        <w:t xml:space="preserve"> (</w:t>
      </w:r>
      <w:r w:rsidRPr="00BD1CC1">
        <w:t>OTC</w:t>
      </w:r>
      <w:r w:rsidR="00FA7073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C24246C" w:rsidR="00585FFF" w:rsidRPr="00BD1CC1" w:rsidRDefault="000D708C" w:rsidP="00E82ABA">
            <w:pPr>
              <w:pStyle w:val="TableDataUnpadded"/>
            </w:pPr>
            <w:r w:rsidRPr="000D708C">
              <w:t>Bosulif</w:t>
            </w:r>
          </w:p>
        </w:tc>
        <w:tc>
          <w:tcPr>
            <w:tcW w:w="5595" w:type="dxa"/>
          </w:tcPr>
          <w:p w14:paraId="7E26A004" w14:textId="6AA3D933" w:rsidR="00585FFF" w:rsidRPr="00BD1CC1" w:rsidRDefault="000D708C" w:rsidP="00E82ABA">
            <w:pPr>
              <w:pStyle w:val="TableDataUnpadded"/>
            </w:pPr>
            <w:r w:rsidRPr="000D708C">
              <w:t>bosutinib</w:t>
            </w:r>
          </w:p>
        </w:tc>
      </w:tr>
    </w:tbl>
    <w:bookmarkEnd w:id="0"/>
    <w:p w14:paraId="14CE6108" w14:textId="58D33DD0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9BE7FF1" w14:textId="30D55DB9" w:rsidR="000D708C" w:rsidRPr="000D708C" w:rsidRDefault="000D708C" w:rsidP="000D708C">
      <w:pPr>
        <w:pStyle w:val="BodyText"/>
      </w:pPr>
      <w:r w:rsidRPr="000D708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457AC61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0D708C" w:rsidRPr="000D708C">
        <w:rPr>
          <w:vertAlign w:val="superscript"/>
        </w:rPr>
        <w:t>1</w:t>
      </w:r>
    </w:p>
    <w:p w14:paraId="1B7A0E1F" w14:textId="77777777" w:rsidR="000D708C" w:rsidRPr="00F97F07" w:rsidRDefault="000D708C" w:rsidP="00F97F07">
      <w:pPr>
        <w:pStyle w:val="ListParagraph"/>
        <w:numPr>
          <w:ilvl w:val="0"/>
          <w:numId w:val="43"/>
        </w:numPr>
        <w:contextualSpacing w:val="0"/>
      </w:pPr>
      <w:r w:rsidRPr="00F97F07">
        <w:t>Treatment of adult and pediatric 1 years of age and older patients with newly-diagnosed or resistant or intolerant to prior therapy chronic phase (CP) Philadelphia chromosome-positive chronic myelogenous leukemia (Ph+ CML)</w:t>
      </w:r>
    </w:p>
    <w:p w14:paraId="4C434745" w14:textId="28F1203D" w:rsidR="00ED052F" w:rsidRPr="00F97F07" w:rsidRDefault="000D708C" w:rsidP="00F97F07">
      <w:pPr>
        <w:pStyle w:val="ListParagraph"/>
        <w:numPr>
          <w:ilvl w:val="0"/>
          <w:numId w:val="43"/>
        </w:numPr>
        <w:contextualSpacing w:val="0"/>
      </w:pPr>
      <w:r w:rsidRPr="00F97F07">
        <w:t>Treatment of adult patients with accelerated phase (AP) or blast phase (BP) Ph+ CML with resistance or intolerance to prior therapy</w:t>
      </w:r>
    </w:p>
    <w:p w14:paraId="0B5EC236" w14:textId="27672A04" w:rsidR="0044763A" w:rsidRPr="00100B91" w:rsidRDefault="009F2EF1" w:rsidP="0044763A">
      <w:pPr>
        <w:pStyle w:val="Heading3"/>
      </w:pPr>
      <w:r>
        <w:t>Compendial Uses</w:t>
      </w:r>
      <w:r w:rsidR="000D708C" w:rsidRPr="000D708C">
        <w:rPr>
          <w:vertAlign w:val="superscript"/>
        </w:rPr>
        <w:t>2-4</w:t>
      </w:r>
    </w:p>
    <w:p w14:paraId="2AAAB191" w14:textId="77777777" w:rsidR="000D708C" w:rsidRPr="000D708C" w:rsidRDefault="000D708C" w:rsidP="00F97F07">
      <w:pPr>
        <w:pStyle w:val="ListParagraph"/>
        <w:numPr>
          <w:ilvl w:val="0"/>
          <w:numId w:val="42"/>
        </w:numPr>
        <w:contextualSpacing w:val="0"/>
      </w:pPr>
      <w:r w:rsidRPr="000D708C">
        <w:t xml:space="preserve">Primary treatment of patients with advanced phase CML (accelerated phase or blast phase) </w:t>
      </w:r>
    </w:p>
    <w:p w14:paraId="716ABF7F" w14:textId="77777777" w:rsidR="000D708C" w:rsidRPr="000D708C" w:rsidRDefault="000D708C" w:rsidP="00F97F07">
      <w:pPr>
        <w:pStyle w:val="ListParagraph"/>
        <w:numPr>
          <w:ilvl w:val="0"/>
          <w:numId w:val="42"/>
        </w:numPr>
        <w:contextualSpacing w:val="0"/>
      </w:pPr>
      <w:r w:rsidRPr="000D708C">
        <w:t>Additional therapy for CML patients after hematopoietic stem cell transplant (HSCT)</w:t>
      </w:r>
    </w:p>
    <w:p w14:paraId="27415157" w14:textId="77777777" w:rsidR="000D708C" w:rsidRPr="000D708C" w:rsidRDefault="000D708C" w:rsidP="00F97F07">
      <w:pPr>
        <w:pStyle w:val="ListParagraph"/>
        <w:numPr>
          <w:ilvl w:val="0"/>
          <w:numId w:val="42"/>
        </w:numPr>
        <w:contextualSpacing w:val="0"/>
      </w:pPr>
      <w:r w:rsidRPr="000D708C">
        <w:t>Ph+ B-cell acute lymphoblastic leukemia or lymphoblastic lymphoma (Ph+ B-ALL/LL)</w:t>
      </w:r>
    </w:p>
    <w:p w14:paraId="0FDA4728" w14:textId="77777777" w:rsidR="000D708C" w:rsidRPr="000D708C" w:rsidRDefault="000D708C" w:rsidP="00F97F07">
      <w:pPr>
        <w:pStyle w:val="ListParagraph"/>
        <w:numPr>
          <w:ilvl w:val="0"/>
          <w:numId w:val="42"/>
        </w:numPr>
        <w:contextualSpacing w:val="0"/>
      </w:pPr>
      <w:r w:rsidRPr="000D708C">
        <w:t>Maintenance therapy for Ph+ B-ALL/LL patients after HSCT</w:t>
      </w:r>
    </w:p>
    <w:p w14:paraId="43E8871F" w14:textId="77777777" w:rsidR="000D708C" w:rsidRPr="000D708C" w:rsidRDefault="000D708C" w:rsidP="00F97F07">
      <w:pPr>
        <w:pStyle w:val="ListParagraph"/>
        <w:numPr>
          <w:ilvl w:val="0"/>
          <w:numId w:val="42"/>
        </w:numPr>
        <w:contextualSpacing w:val="0"/>
      </w:pPr>
      <w:r w:rsidRPr="000D708C">
        <w:lastRenderedPageBreak/>
        <w:t>Myeloid/lymphoid neoplasms with eosinophilia and ABL1 rearrangement in chronic phase or blast phase</w:t>
      </w:r>
    </w:p>
    <w:p w14:paraId="7554A28B" w14:textId="77777777" w:rsidR="000D708C" w:rsidRPr="000D708C" w:rsidRDefault="000D708C" w:rsidP="000D708C">
      <w:pPr>
        <w:pStyle w:val="BodyText"/>
      </w:pPr>
      <w:r w:rsidRPr="000D708C">
        <w:t xml:space="preserve">All other indications are considered experimental/investigational and </w:t>
      </w:r>
      <w:r w:rsidRPr="00B33A5E">
        <w:t>not medically necessary.</w:t>
      </w:r>
    </w:p>
    <w:p w14:paraId="36381B6D" w14:textId="73288CFC" w:rsidR="000D2496" w:rsidRPr="00BD1CC1" w:rsidRDefault="000D2496" w:rsidP="000D2496">
      <w:pPr>
        <w:pStyle w:val="Heading2"/>
      </w:pPr>
      <w:r w:rsidRPr="00BD1CC1">
        <w:t>Documentation</w:t>
      </w:r>
    </w:p>
    <w:p w14:paraId="03FAB66C" w14:textId="77777777" w:rsidR="000D708C" w:rsidRPr="000D708C" w:rsidRDefault="000D708C" w:rsidP="000D708C">
      <w:pPr>
        <w:pStyle w:val="BodyText"/>
      </w:pPr>
      <w:r w:rsidRPr="000D708C">
        <w:t>The following information is necessary to initiate the prior authorization review:</w:t>
      </w:r>
    </w:p>
    <w:p w14:paraId="751E6C2F" w14:textId="77777777" w:rsidR="000D708C" w:rsidRPr="000D708C" w:rsidRDefault="000D708C" w:rsidP="00F97F07">
      <w:pPr>
        <w:pStyle w:val="ListParagraph"/>
        <w:numPr>
          <w:ilvl w:val="0"/>
          <w:numId w:val="45"/>
        </w:numPr>
        <w:contextualSpacing w:val="0"/>
      </w:pPr>
      <w:r w:rsidRPr="000D708C">
        <w:t>Prior to initiation of therapy for treatment of CML or Ph+ B-ALL/LL: results of cytogenetic and/or molecular testing for detection of the Ph chromosome or the BCR::ABL gene</w:t>
      </w:r>
    </w:p>
    <w:p w14:paraId="2B294C99" w14:textId="77777777" w:rsidR="000D708C" w:rsidRPr="000D708C" w:rsidRDefault="000D708C" w:rsidP="00F97F07">
      <w:pPr>
        <w:pStyle w:val="ListParagraph"/>
        <w:numPr>
          <w:ilvl w:val="0"/>
          <w:numId w:val="45"/>
        </w:numPr>
        <w:contextualSpacing w:val="0"/>
      </w:pPr>
      <w:r w:rsidRPr="000D708C">
        <w:t>For members requesting initiation of therapy with the requested medication for treatment of CML or Ph+ B-ALL/LL after experiencing resistance to prior tyrosine kinase inhibitor (TKI) therapy: results of BCR::ABL1 mutation testing including T315I, G250E, V299L, F317L mutations</w:t>
      </w:r>
    </w:p>
    <w:p w14:paraId="79C47276" w14:textId="22F3677B" w:rsidR="00C75C02" w:rsidRPr="00BD1CC1" w:rsidRDefault="000D708C" w:rsidP="00F97F07">
      <w:pPr>
        <w:pStyle w:val="ListParagraph"/>
        <w:numPr>
          <w:ilvl w:val="0"/>
          <w:numId w:val="45"/>
        </w:numPr>
        <w:contextualSpacing w:val="0"/>
      </w:pPr>
      <w:r w:rsidRPr="000D708C">
        <w:t xml:space="preserve">For members requesting initiation of therapy with the requested medication for treatment of myeloid and/or lymphoid neoplasms with eosinophilia: results of testing or analysis confirming ABL1 rearrangement </w:t>
      </w:r>
    </w:p>
    <w:p w14:paraId="50A38FBA" w14:textId="68E6DA1D" w:rsidR="00FE0C63" w:rsidRPr="00100B91" w:rsidRDefault="00685107" w:rsidP="00E050E1">
      <w:pPr>
        <w:pStyle w:val="Heading2"/>
      </w:pPr>
      <w:r>
        <w:t>Coverage Criteria</w:t>
      </w:r>
    </w:p>
    <w:p w14:paraId="2797B8A3" w14:textId="77777777" w:rsidR="000D708C" w:rsidRDefault="000D708C" w:rsidP="000D708C">
      <w:pPr>
        <w:pStyle w:val="Heading3"/>
        <w:rPr>
          <w:vertAlign w:val="superscript"/>
        </w:rPr>
      </w:pPr>
      <w:r w:rsidRPr="000D708C">
        <w:t>Chronic Myeloid Leukemia (CML)</w:t>
      </w:r>
      <w:r w:rsidRPr="000D708C">
        <w:rPr>
          <w:vertAlign w:val="superscript"/>
        </w:rPr>
        <w:t>1-3</w:t>
      </w:r>
    </w:p>
    <w:p w14:paraId="51C63BB7" w14:textId="77777777" w:rsidR="000D708C" w:rsidRDefault="000D708C" w:rsidP="000D708C">
      <w:pPr>
        <w:pStyle w:val="BodyText"/>
      </w:pPr>
      <w:r w:rsidRPr="000D708C">
        <w:t>Authorization of 7 months may be granted for treatment of CML that has been confirmed by detection of the Ph chromosome or BCR::ABL gene by cytogenetic and/or molecular testing when any of the following criteria are met:</w:t>
      </w:r>
    </w:p>
    <w:p w14:paraId="3BAF15D5" w14:textId="77777777" w:rsidR="000D708C" w:rsidRP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 w:rsidRPr="000D708C">
        <w:t>Member has not received prior therapy with a tyrosine kinase inhibitor (TKI) (e.g., dasatinib, imatinib, nilotinib, ponatinib)</w:t>
      </w:r>
    </w:p>
    <w:p w14:paraId="46E558E1" w14:textId="77777777" w:rsidR="000D708C" w:rsidRP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 w:rsidRPr="000D708C">
        <w:t>Member experienced toxicity or intolerance to prior therapy with a TKI</w:t>
      </w:r>
    </w:p>
    <w:p w14:paraId="678F9B09" w14:textId="77777777" w:rsidR="000D708C" w:rsidRP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 w:rsidRPr="000D708C">
        <w:t xml:space="preserve">Member experienced resistance to prior therapy with a TKI and results of BCR::ABL1 mutation testing are negative for all of the following: T315I, G250E, V299L, and F317L </w:t>
      </w:r>
    </w:p>
    <w:p w14:paraId="0B3B864F" w14:textId="77777777" w:rsidR="000D708C" w:rsidRP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 w:rsidRPr="000D708C">
        <w:t>Member has received HSCT for CML and results of BCR::ABL1 mutation testing are negative for all of the following: T315I, G250E, V299L, and F317L</w:t>
      </w:r>
    </w:p>
    <w:p w14:paraId="28518626" w14:textId="77777777" w:rsidR="000D708C" w:rsidRDefault="000D708C" w:rsidP="00F97F07">
      <w:pPr>
        <w:pStyle w:val="Heading3"/>
        <w:keepNext w:val="0"/>
        <w:keepLines w:val="0"/>
        <w:widowControl w:val="0"/>
        <w:rPr>
          <w:vertAlign w:val="superscript"/>
        </w:rPr>
      </w:pPr>
      <w:r w:rsidRPr="000D708C">
        <w:t>Ph+ B-Cell Acute Lymphoblastic Leukemia (B-ALL)/Lymphoblastic Lymphoma (B-LL)</w:t>
      </w:r>
      <w:r w:rsidRPr="000D708C">
        <w:rPr>
          <w:vertAlign w:val="superscript"/>
        </w:rPr>
        <w:t>2,4</w:t>
      </w:r>
    </w:p>
    <w:p w14:paraId="387E2927" w14:textId="77777777" w:rsidR="000D708C" w:rsidRDefault="000D708C" w:rsidP="00F97F07">
      <w:pPr>
        <w:pStyle w:val="BodyText"/>
        <w:widowControl w:val="0"/>
      </w:pPr>
      <w:r w:rsidRPr="000D708C">
        <w:t>Authorization of 12 months may be granted for treatment Ph+ B-ALL/LL that has been confirmed by detection of Ph chromosome or BCR::ABL gene by cytogenetic and/or molecular testing when any of the following criteria are met:</w:t>
      </w:r>
    </w:p>
    <w:p w14:paraId="7F721839" w14:textId="77777777" w:rsidR="000D708C" w:rsidRPr="000D708C" w:rsidRDefault="000D708C" w:rsidP="00F97F07">
      <w:pPr>
        <w:pStyle w:val="ListParagraph"/>
        <w:widowControl w:val="0"/>
        <w:numPr>
          <w:ilvl w:val="0"/>
          <w:numId w:val="46"/>
        </w:numPr>
        <w:contextualSpacing w:val="0"/>
      </w:pPr>
      <w:r w:rsidRPr="000D708C">
        <w:lastRenderedPageBreak/>
        <w:t>Member has not received prior therapy with a TKI (e.g., dasatinib, imatinib, nilotinib, ponatinib)</w:t>
      </w:r>
    </w:p>
    <w:p w14:paraId="571833D9" w14:textId="77777777" w:rsidR="000D708C" w:rsidRPr="000D708C" w:rsidRDefault="000D708C" w:rsidP="00F97F07">
      <w:pPr>
        <w:pStyle w:val="ListParagraph"/>
        <w:widowControl w:val="0"/>
        <w:numPr>
          <w:ilvl w:val="0"/>
          <w:numId w:val="46"/>
        </w:numPr>
        <w:contextualSpacing w:val="0"/>
      </w:pPr>
      <w:r w:rsidRPr="000D708C">
        <w:t>Member experienced intolerance or toxicity to prior therapy with a TKI</w:t>
      </w:r>
    </w:p>
    <w:p w14:paraId="5689F076" w14:textId="77777777" w:rsidR="000D708C" w:rsidRPr="000D708C" w:rsidRDefault="000D708C" w:rsidP="00F97F07">
      <w:pPr>
        <w:pStyle w:val="ListParagraph"/>
        <w:widowControl w:val="0"/>
        <w:numPr>
          <w:ilvl w:val="0"/>
          <w:numId w:val="46"/>
        </w:numPr>
        <w:contextualSpacing w:val="0"/>
      </w:pPr>
      <w:r w:rsidRPr="000D708C">
        <w:t>Member experienced resistance to prior therapy with a TKI and results of BCR::ABL1 mutation testing are negative for all of the following: T315I, G250E, V299L, and F317L</w:t>
      </w:r>
    </w:p>
    <w:p w14:paraId="04DAB68A" w14:textId="77777777" w:rsidR="000D708C" w:rsidRDefault="000D708C" w:rsidP="00F97F07">
      <w:pPr>
        <w:pStyle w:val="ListParagraph"/>
        <w:widowControl w:val="0"/>
        <w:numPr>
          <w:ilvl w:val="0"/>
          <w:numId w:val="46"/>
        </w:numPr>
        <w:contextualSpacing w:val="0"/>
      </w:pPr>
      <w:bookmarkStart w:id="1" w:name="_Hlk100670923"/>
      <w:r w:rsidRPr="000D708C">
        <w:t>Member has received HSCT for Ph+ B-ALL/LL and results of BCR::ABL1 mutation testing are negative for all of the following: T315I, G250E, V299L, and F317L</w:t>
      </w:r>
      <w:bookmarkEnd w:id="1"/>
    </w:p>
    <w:p w14:paraId="4237D419" w14:textId="77777777" w:rsidR="000D708C" w:rsidRDefault="000D708C" w:rsidP="000D708C">
      <w:pPr>
        <w:pStyle w:val="Heading3"/>
        <w:rPr>
          <w:vertAlign w:val="superscript"/>
        </w:rPr>
      </w:pPr>
      <w:r w:rsidRPr="000D708C">
        <w:t>Myeloid/Lymphoid Neoplasms with Eosinophilia</w:t>
      </w:r>
      <w:r w:rsidRPr="000D708C">
        <w:rPr>
          <w:vertAlign w:val="superscript"/>
        </w:rPr>
        <w:t>2</w:t>
      </w:r>
    </w:p>
    <w:p w14:paraId="2719A469" w14:textId="1E9D80C0" w:rsidR="000D708C" w:rsidRPr="000D708C" w:rsidRDefault="000D708C" w:rsidP="00F97F07">
      <w:pPr>
        <w:pStyle w:val="BodyText"/>
      </w:pPr>
      <w:r w:rsidRPr="00363BC7">
        <w:t xml:space="preserve">Authorization of 12 months may be granted </w:t>
      </w:r>
      <w:r w:rsidRPr="00F97F07">
        <w:t>for</w:t>
      </w:r>
      <w:r w:rsidRPr="00363BC7">
        <w:t xml:space="preserve"> treatment of myeloid and/or lymphoid neoplasms with eosinophilia and ABL1 rearrangement in the chronic phase or blast phase.</w:t>
      </w:r>
    </w:p>
    <w:p w14:paraId="3A643EC3" w14:textId="113A2D06" w:rsidR="00A501AC" w:rsidRDefault="00A501AC" w:rsidP="00A501AC">
      <w:pPr>
        <w:pStyle w:val="Heading2"/>
      </w:pPr>
      <w:r w:rsidRPr="00BD1CC1">
        <w:t>Continuation of Therapy</w:t>
      </w:r>
    </w:p>
    <w:p w14:paraId="4E182145" w14:textId="77777777" w:rsidR="000D708C" w:rsidRDefault="000D708C" w:rsidP="000D708C">
      <w:pPr>
        <w:pStyle w:val="Heading3"/>
      </w:pPr>
      <w:r w:rsidRPr="000D708C">
        <w:t>CML</w:t>
      </w:r>
    </w:p>
    <w:p w14:paraId="29568B86" w14:textId="77777777" w:rsidR="000D708C" w:rsidRPr="000D708C" w:rsidRDefault="000D708C" w:rsidP="000D708C">
      <w:pPr>
        <w:pStyle w:val="BodyText"/>
      </w:pPr>
      <w:r w:rsidRPr="000D708C">
        <w:t>Authorization may be granted for continued treatment of CML that has been confirmed by detection of Ph chromosome or BCR::ABL gene by cytogenetic and/ or molecular testing when either of the following criteria are met:</w:t>
      </w:r>
    </w:p>
    <w:p w14:paraId="445369EA" w14:textId="77777777" w:rsid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 w:rsidRPr="000D708C">
        <w:t>Authorization of 12 months may be granted when any of the following criteria is met:</w:t>
      </w:r>
    </w:p>
    <w:p w14:paraId="2640D92D" w14:textId="77777777" w:rsidR="000D708C" w:rsidRPr="000D708C" w:rsidRDefault="000D708C" w:rsidP="00F97F07">
      <w:pPr>
        <w:pStyle w:val="ListParagraph"/>
        <w:numPr>
          <w:ilvl w:val="1"/>
          <w:numId w:val="46"/>
        </w:numPr>
        <w:contextualSpacing w:val="0"/>
      </w:pPr>
      <w:r w:rsidRPr="000D708C">
        <w:t xml:space="preserve">BCR::ABL1 is less than or equal to 10% and there is no evidence of disease progression or unacceptable toxicity while on the current regimen for members who have been receiving the requested medication for 6 months or greater </w:t>
      </w:r>
    </w:p>
    <w:p w14:paraId="20D8506B" w14:textId="77777777" w:rsidR="000D708C" w:rsidRDefault="000D708C" w:rsidP="00F97F07">
      <w:pPr>
        <w:pStyle w:val="ListParagraph"/>
        <w:numPr>
          <w:ilvl w:val="1"/>
          <w:numId w:val="46"/>
        </w:numPr>
        <w:contextualSpacing w:val="0"/>
      </w:pPr>
      <w:r w:rsidRPr="000D708C">
        <w:t>Member has received HSCT and there is no evidence of unacceptable toxicity or disease progression while on the current regimen</w:t>
      </w:r>
    </w:p>
    <w:p w14:paraId="6C704EBD" w14:textId="726C3C08" w:rsidR="000D708C" w:rsidRPr="000D708C" w:rsidRDefault="000D708C" w:rsidP="00F97F07">
      <w:pPr>
        <w:pStyle w:val="ListParagraph"/>
        <w:numPr>
          <w:ilvl w:val="0"/>
          <w:numId w:val="46"/>
        </w:numPr>
        <w:contextualSpacing w:val="0"/>
      </w:pPr>
      <w:r>
        <w:t>Authorization of up to 7 months may be granted when the member has completed less than 6 months of therapy with the requested medication.</w:t>
      </w:r>
    </w:p>
    <w:p w14:paraId="599EBBE9" w14:textId="77777777" w:rsidR="000D708C" w:rsidRDefault="000D708C" w:rsidP="00F97F07">
      <w:pPr>
        <w:pStyle w:val="Heading3"/>
        <w:keepNext w:val="0"/>
        <w:keepLines w:val="0"/>
        <w:widowControl w:val="0"/>
      </w:pPr>
      <w:r w:rsidRPr="000D708C">
        <w:t>Ph+ B-ALL/LL</w:t>
      </w:r>
    </w:p>
    <w:p w14:paraId="03655BCF" w14:textId="77777777" w:rsidR="000D708C" w:rsidRDefault="000D708C" w:rsidP="00F97F07">
      <w:pPr>
        <w:pStyle w:val="BodyText"/>
        <w:widowControl w:val="0"/>
      </w:pPr>
      <w:r w:rsidRPr="000D708C">
        <w:t xml:space="preserve">Authorization of 12 months may be granted for continued treatment of B-ALL/LL when there is no evidence of unacceptable toxicity or disease progression while on the current regimen and either of the following criteria is met: </w:t>
      </w:r>
    </w:p>
    <w:p w14:paraId="13EF8A5A" w14:textId="77777777" w:rsidR="000D708C" w:rsidRPr="000D708C" w:rsidRDefault="000D708C" w:rsidP="00F97F07">
      <w:pPr>
        <w:pStyle w:val="ListParagraph"/>
        <w:widowControl w:val="0"/>
        <w:numPr>
          <w:ilvl w:val="0"/>
          <w:numId w:val="41"/>
        </w:numPr>
      </w:pPr>
      <w:r w:rsidRPr="000D708C">
        <w:t>Member has Ph+ B-ALL/LL that has been confirmed by detection of Ph chromosome or BCR::ABL gene by cytogenetic and/ or molecular testing</w:t>
      </w:r>
    </w:p>
    <w:p w14:paraId="5F1CA7B5" w14:textId="77777777" w:rsidR="00B33F87" w:rsidRDefault="000D708C" w:rsidP="00F97F07">
      <w:pPr>
        <w:pStyle w:val="ListParagraph"/>
        <w:widowControl w:val="0"/>
        <w:numPr>
          <w:ilvl w:val="0"/>
          <w:numId w:val="41"/>
        </w:numPr>
      </w:pPr>
      <w:r w:rsidRPr="000D708C">
        <w:t>Member has received HSCT for B-ALL/LL</w:t>
      </w:r>
    </w:p>
    <w:p w14:paraId="25D0FABB" w14:textId="77777777" w:rsidR="000D708C" w:rsidRPr="000D708C" w:rsidRDefault="000D708C" w:rsidP="000D708C">
      <w:pPr>
        <w:pStyle w:val="Heading3"/>
      </w:pPr>
      <w:r w:rsidRPr="000D708C">
        <w:lastRenderedPageBreak/>
        <w:t>Myeloid/Lymphoid Neoplasms with Eosinophilia</w:t>
      </w:r>
    </w:p>
    <w:p w14:paraId="7BFFBD6B" w14:textId="49908153" w:rsidR="000D708C" w:rsidRPr="000D708C" w:rsidRDefault="00363BC7" w:rsidP="000D708C">
      <w:pPr>
        <w:pStyle w:val="BodyText"/>
      </w:pPr>
      <w:r w:rsidRPr="00363BC7">
        <w:t>Authorization of 12 months may be granted for continued treatment in members requesting reauthorization when there is no evidence of unacceptable toxicity or disease progression while on the current regimen.</w:t>
      </w:r>
    </w:p>
    <w:p w14:paraId="10DA4309" w14:textId="75EABE39" w:rsidR="00FF66BF" w:rsidRPr="008D1B34" w:rsidRDefault="00FF66BF" w:rsidP="00FF66BF">
      <w:pPr>
        <w:pStyle w:val="Heading2"/>
      </w:pPr>
      <w:r w:rsidRPr="008D1B34">
        <w:t>References</w:t>
      </w:r>
    </w:p>
    <w:p w14:paraId="1C61D838" w14:textId="77777777" w:rsidR="00363BC7" w:rsidRDefault="00363BC7" w:rsidP="00363BC7">
      <w:pPr>
        <w:pStyle w:val="ReferenceOrdered"/>
        <w:ind w:left="360"/>
      </w:pPr>
      <w:r>
        <w:t xml:space="preserve">Bosulif [package insert]. New York, NY: Pfizer Inc.; September 2023. </w:t>
      </w:r>
    </w:p>
    <w:p w14:paraId="3FDF3AF0" w14:textId="77777777" w:rsidR="00363BC7" w:rsidRDefault="00363BC7" w:rsidP="00363BC7">
      <w:pPr>
        <w:pStyle w:val="ReferenceOrdered"/>
        <w:ind w:left="360"/>
      </w:pPr>
      <w:r>
        <w:t>The NCCN Drugs &amp; Biologics Compendium</w:t>
      </w:r>
      <w:r w:rsidRPr="00363BC7">
        <w:t>®</w:t>
      </w:r>
      <w:r>
        <w:t xml:space="preserve"> © 2024 National Comprehensive Cancer Network, Inc. </w:t>
      </w:r>
      <w:hyperlink r:id="rId18" w:history="1">
        <w:r w:rsidRPr="00363BC7">
          <w:t>https://www.nccn.org</w:t>
        </w:r>
      </w:hyperlink>
      <w:r>
        <w:t>. Accessed March 20, 2024.</w:t>
      </w:r>
    </w:p>
    <w:p w14:paraId="41B52F83" w14:textId="77777777" w:rsidR="00363BC7" w:rsidRDefault="00363BC7" w:rsidP="00363BC7">
      <w:pPr>
        <w:pStyle w:val="ReferenceOrdered"/>
        <w:ind w:left="360"/>
      </w:pPr>
      <w:r>
        <w:t>NCCN Clinical Practice Guidelines in Oncology</w:t>
      </w:r>
      <w:r w:rsidRPr="00363BC7">
        <w:t>®</w:t>
      </w:r>
      <w:r>
        <w:t xml:space="preserve"> Chronic Myeloid Leukemia (Version 2.2024). © 2024 National Comprehensive Cancer Network, Inc. </w:t>
      </w:r>
      <w:hyperlink r:id="rId19" w:history="1">
        <w:r w:rsidRPr="00363BC7">
          <w:t>https://www.nccn.org</w:t>
        </w:r>
      </w:hyperlink>
      <w:r>
        <w:t>. Accessed March 20, 2024.</w:t>
      </w:r>
    </w:p>
    <w:p w14:paraId="47E1A10C" w14:textId="031C90AA" w:rsidR="00C44990" w:rsidRPr="006B3568" w:rsidRDefault="00363BC7" w:rsidP="006B3568">
      <w:pPr>
        <w:pStyle w:val="ReferenceOrdered"/>
        <w:ind w:left="360"/>
      </w:pPr>
      <w:r>
        <w:t>NCCN Clinical Practice Guidelines in Oncology</w:t>
      </w:r>
      <w:r w:rsidRPr="00363BC7">
        <w:t xml:space="preserve">® </w:t>
      </w:r>
      <w:r>
        <w:t xml:space="preserve">Acute Lymphoblastic Leukemia (Version 4.2023). © 2024 National Comprehensive Cancer Network, Inc. </w:t>
      </w:r>
      <w:hyperlink r:id="rId20" w:history="1">
        <w:r w:rsidRPr="00363BC7">
          <w:t>https://www.nccn.org</w:t>
        </w:r>
      </w:hyperlink>
      <w:r>
        <w:t>. Accessed March 20, 2024</w:t>
      </w:r>
      <w:r w:rsidR="00FF66BF" w:rsidRPr="00BD1CC1">
        <w:t>.</w:t>
      </w:r>
    </w:p>
    <w:sectPr w:rsidR="00C44990" w:rsidRPr="006B3568" w:rsidSect="00D06B63">
      <w:headerReference w:type="first" r:id="rId21"/>
      <w:footerReference w:type="first" r:id="rId22"/>
      <w:type w:val="continuous"/>
      <w:pgSz w:w="12240" w:h="15840" w:code="1"/>
      <w:pgMar w:top="907" w:right="720" w:bottom="994" w:left="720" w:header="720" w:footer="806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F3B24" w14:textId="77777777" w:rsidR="00CF6FB9" w:rsidRDefault="00CF6FB9">
      <w:r>
        <w:separator/>
      </w:r>
    </w:p>
  </w:endnote>
  <w:endnote w:type="continuationSeparator" w:id="0">
    <w:p w14:paraId="137A67BC" w14:textId="77777777" w:rsidR="00CF6FB9" w:rsidRDefault="00CF6FB9">
      <w:r>
        <w:continuationSeparator/>
      </w:r>
    </w:p>
  </w:endnote>
  <w:endnote w:type="continuationNotice" w:id="1">
    <w:p w14:paraId="105F7046" w14:textId="77777777" w:rsidR="00CF6FB9" w:rsidRDefault="00CF6F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C33F" w14:textId="77777777" w:rsidR="00B912E7" w:rsidRDefault="00B912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6D159E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912E7" w:rsidRPr="00B912E7">
      <w:rPr>
        <w:rFonts w:cs="Arial"/>
        <w:noProof/>
        <w:sz w:val="16"/>
        <w:szCs w:val="16"/>
      </w:rPr>
      <w:t>Bosulif</w:t>
    </w:r>
    <w:r w:rsidR="00B912E7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B912E7" w:rsidRPr="00B912E7">
      <w:rPr>
        <w:rFonts w:cs="Arial"/>
        <w:noProof/>
        <w:sz w:val="16"/>
        <w:szCs w:val="16"/>
      </w:rPr>
      <w:t xml:space="preserve"> </w:t>
    </w:r>
    <w:r w:rsidR="00B912E7">
      <w:rPr>
        <w:rFonts w:cs="Arial"/>
        <w:noProof/>
        <w:snapToGrid w:val="0"/>
        <w:color w:val="000000"/>
        <w:sz w:val="16"/>
        <w:szCs w:val="16"/>
      </w:rPr>
      <w:t xml:space="preserve">2171-A </w:t>
    </w:r>
    <w:r w:rsidR="00B912E7" w:rsidRPr="00B912E7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2EDB2D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AB6638E" w:rsidR="00F75C81" w:rsidRPr="00AA1E6A" w:rsidRDefault="00C36B72" w:rsidP="004C22C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6DF0A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912E7" w:rsidRPr="00B912E7">
      <w:rPr>
        <w:rFonts w:cs="Arial"/>
        <w:noProof/>
        <w:sz w:val="16"/>
        <w:szCs w:val="16"/>
      </w:rPr>
      <w:t>Bosulif SGM 2171-A P2024_R</w:t>
    </w:r>
    <w:r w:rsidR="00B912E7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3F2B82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D4C361D" w:rsidR="00ED04EC" w:rsidRPr="00F50D98" w:rsidRDefault="00F50D98" w:rsidP="004C22C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46E5" w14:textId="6FC9AA0B" w:rsidR="00D439E2" w:rsidRPr="00EC47B6" w:rsidRDefault="00D439E2" w:rsidP="00D439E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912E7" w:rsidRPr="00B912E7">
      <w:rPr>
        <w:rFonts w:cs="Arial"/>
        <w:noProof/>
        <w:sz w:val="16"/>
        <w:szCs w:val="16"/>
      </w:rPr>
      <w:t>Bosulif</w:t>
    </w:r>
    <w:r w:rsidR="00B912E7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B912E7" w:rsidRPr="00B912E7">
      <w:rPr>
        <w:rFonts w:cs="Arial"/>
        <w:noProof/>
        <w:sz w:val="16"/>
        <w:szCs w:val="16"/>
      </w:rPr>
      <w:t xml:space="preserve"> </w:t>
    </w:r>
    <w:r w:rsidR="00B912E7">
      <w:rPr>
        <w:rFonts w:cs="Arial"/>
        <w:noProof/>
        <w:snapToGrid w:val="0"/>
        <w:color w:val="000000"/>
        <w:sz w:val="16"/>
        <w:szCs w:val="16"/>
      </w:rPr>
      <w:t xml:space="preserve">2171-A </w:t>
    </w:r>
    <w:r w:rsidR="00B912E7" w:rsidRPr="00B912E7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50E47DC1" w14:textId="56054324" w:rsidR="00D439E2" w:rsidRPr="00335B10" w:rsidRDefault="00D439E2" w:rsidP="00D439E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</w:t>
    </w:r>
    <w:r w:rsidRPr="00335B10">
      <w:rPr>
        <w:rFonts w:cs="Arial"/>
        <w:sz w:val="16"/>
        <w:szCs w:val="16"/>
      </w:rPr>
      <w:t xml:space="preserve">affiliated with </w:t>
    </w:r>
    <w:r w:rsidRPr="00335B10">
      <w:rPr>
        <w:rFonts w:cs="Arial"/>
        <w:snapToGrid w:val="0"/>
        <w:sz w:val="16"/>
        <w:szCs w:val="16"/>
      </w:rPr>
      <w:t>CVS Caremark</w:t>
    </w:r>
    <w:r w:rsidRPr="00335B10">
      <w:rPr>
        <w:rFonts w:cs="Arial"/>
        <w:sz w:val="16"/>
        <w:szCs w:val="16"/>
      </w:rPr>
      <w:t>.</w:t>
    </w:r>
  </w:p>
  <w:p w14:paraId="17D5C8E3" w14:textId="29E29D58" w:rsidR="00363BC7" w:rsidRPr="00335B10" w:rsidRDefault="00D439E2" w:rsidP="004C22C6">
    <w:pPr>
      <w:autoSpaceDE w:val="0"/>
      <w:autoSpaceDN w:val="0"/>
      <w:adjustRightInd w:val="0"/>
      <w:jc w:val="center"/>
      <w:rPr>
        <w:sz w:val="16"/>
        <w:szCs w:val="16"/>
      </w:rPr>
    </w:pPr>
    <w:r w:rsidRPr="00335B10">
      <w:rPr>
        <w:rFonts w:cs="Arial"/>
        <w:sz w:val="16"/>
        <w:szCs w:val="16"/>
      </w:rPr>
      <w:fldChar w:fldCharType="begin"/>
    </w:r>
    <w:r w:rsidRPr="00335B10">
      <w:rPr>
        <w:rFonts w:cs="Arial"/>
        <w:sz w:val="16"/>
        <w:szCs w:val="16"/>
      </w:rPr>
      <w:instrText xml:space="preserve"> PAGE </w:instrText>
    </w:r>
    <w:r w:rsidRPr="00335B10">
      <w:rPr>
        <w:rFonts w:cs="Arial"/>
        <w:sz w:val="16"/>
        <w:szCs w:val="16"/>
      </w:rPr>
      <w:fldChar w:fldCharType="separate"/>
    </w:r>
    <w:r w:rsidRPr="00335B10">
      <w:rPr>
        <w:rFonts w:cs="Arial"/>
        <w:sz w:val="16"/>
        <w:szCs w:val="16"/>
      </w:rPr>
      <w:t>3</w:t>
    </w:r>
    <w:r w:rsidRPr="00335B10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CB84" w14:textId="77777777" w:rsidR="00CF6FB9" w:rsidRDefault="00CF6FB9">
      <w:r>
        <w:separator/>
      </w:r>
    </w:p>
  </w:footnote>
  <w:footnote w:type="continuationSeparator" w:id="0">
    <w:p w14:paraId="37A0692C" w14:textId="77777777" w:rsidR="00CF6FB9" w:rsidRDefault="00CF6FB9">
      <w:r>
        <w:continuationSeparator/>
      </w:r>
    </w:p>
  </w:footnote>
  <w:footnote w:type="continuationNotice" w:id="1">
    <w:p w14:paraId="431E497C" w14:textId="77777777" w:rsidR="00CF6FB9" w:rsidRDefault="00CF6F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7E5FE" w14:textId="77777777" w:rsidR="00B912E7" w:rsidRDefault="00B912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97F07" w:rsidRDefault="00ED04EC" w:rsidP="00F97F07">
          <w:pPr>
            <w:pStyle w:val="RefTableData"/>
          </w:pPr>
          <w:r w:rsidRPr="00F97F07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F25CD01" w:rsidR="00ED04EC" w:rsidRPr="00F97F07" w:rsidRDefault="000D708C" w:rsidP="00F97F07">
          <w:pPr>
            <w:pStyle w:val="RefTableData"/>
          </w:pPr>
          <w:r w:rsidRPr="00F97F07">
            <w:t>2171-A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1192" w14:textId="77777777" w:rsidR="00B912E7" w:rsidRDefault="00B912E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63BC7" w:rsidRPr="00ED04EC" w14:paraId="6F269495" w14:textId="77777777" w:rsidTr="00DE76DF">
      <w:trPr>
        <w:trHeight w:val="144"/>
        <w:jc w:val="right"/>
      </w:trPr>
      <w:tc>
        <w:tcPr>
          <w:tcW w:w="1854" w:type="dxa"/>
          <w:hideMark/>
        </w:tcPr>
        <w:p w14:paraId="60E5E8F3" w14:textId="77777777" w:rsidR="00363BC7" w:rsidRPr="00B33F87" w:rsidRDefault="00363BC7" w:rsidP="00B33F87">
          <w:pPr>
            <w:pStyle w:val="RefTableData"/>
          </w:pPr>
          <w:r w:rsidRPr="00B33F87">
            <w:t>Reference number(s)</w:t>
          </w:r>
        </w:p>
      </w:tc>
    </w:tr>
    <w:tr w:rsidR="00363BC7" w:rsidRPr="00ED04EC" w14:paraId="5E017426" w14:textId="77777777" w:rsidTr="00DE76DF">
      <w:trPr>
        <w:trHeight w:val="378"/>
        <w:jc w:val="right"/>
      </w:trPr>
      <w:tc>
        <w:tcPr>
          <w:tcW w:w="1854" w:type="dxa"/>
          <w:hideMark/>
        </w:tcPr>
        <w:p w14:paraId="361EFDF5" w14:textId="77777777" w:rsidR="00363BC7" w:rsidRPr="00B33F87" w:rsidRDefault="00363BC7" w:rsidP="00B33F87">
          <w:pPr>
            <w:pStyle w:val="RefTableData"/>
          </w:pPr>
          <w:r w:rsidRPr="00B33F87">
            <w:t>2171-A</w:t>
          </w:r>
        </w:p>
      </w:tc>
    </w:tr>
  </w:tbl>
  <w:p w14:paraId="78D1AEF7" w14:textId="77777777" w:rsidR="00363BC7" w:rsidRPr="00F97F07" w:rsidRDefault="00363BC7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517A2"/>
    <w:multiLevelType w:val="hybridMultilevel"/>
    <w:tmpl w:val="D550FB74"/>
    <w:lvl w:ilvl="0" w:tplc="57D88D9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037D1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B5879"/>
    <w:multiLevelType w:val="hybridMultilevel"/>
    <w:tmpl w:val="A776F0E2"/>
    <w:lvl w:ilvl="0" w:tplc="04090019">
      <w:start w:val="1"/>
      <w:numFmt w:val="lowerLetter"/>
      <w:lvlText w:val="%1."/>
      <w:lvlJc w:val="left"/>
      <w:pPr>
        <w:ind w:left="3060" w:hanging="360"/>
      </w:pPr>
    </w:lvl>
    <w:lvl w:ilvl="1" w:tplc="04090019">
      <w:start w:val="1"/>
      <w:numFmt w:val="lowerLetter"/>
      <w:lvlText w:val="%2."/>
      <w:lvlJc w:val="left"/>
      <w:pPr>
        <w:ind w:left="3780" w:hanging="360"/>
      </w:pPr>
    </w:lvl>
    <w:lvl w:ilvl="2" w:tplc="0409001B">
      <w:start w:val="1"/>
      <w:numFmt w:val="lowerRoman"/>
      <w:lvlText w:val="%3."/>
      <w:lvlJc w:val="right"/>
      <w:pPr>
        <w:ind w:left="4500" w:hanging="180"/>
      </w:pPr>
    </w:lvl>
    <w:lvl w:ilvl="3" w:tplc="0409000F">
      <w:start w:val="1"/>
      <w:numFmt w:val="decimal"/>
      <w:lvlText w:val="%4."/>
      <w:lvlJc w:val="left"/>
      <w:pPr>
        <w:ind w:left="5220" w:hanging="360"/>
      </w:pPr>
    </w:lvl>
    <w:lvl w:ilvl="4" w:tplc="04090019">
      <w:start w:val="1"/>
      <w:numFmt w:val="lowerLetter"/>
      <w:lvlText w:val="%5."/>
      <w:lvlJc w:val="left"/>
      <w:pPr>
        <w:ind w:left="5940" w:hanging="360"/>
      </w:pPr>
    </w:lvl>
    <w:lvl w:ilvl="5" w:tplc="0409001B">
      <w:start w:val="1"/>
      <w:numFmt w:val="lowerRoman"/>
      <w:lvlText w:val="%6."/>
      <w:lvlJc w:val="right"/>
      <w:pPr>
        <w:ind w:left="6660" w:hanging="180"/>
      </w:pPr>
    </w:lvl>
    <w:lvl w:ilvl="6" w:tplc="0409000F">
      <w:start w:val="1"/>
      <w:numFmt w:val="decimal"/>
      <w:lvlText w:val="%7."/>
      <w:lvlJc w:val="left"/>
      <w:pPr>
        <w:ind w:left="7380" w:hanging="360"/>
      </w:pPr>
    </w:lvl>
    <w:lvl w:ilvl="7" w:tplc="04090019">
      <w:start w:val="1"/>
      <w:numFmt w:val="lowerLetter"/>
      <w:lvlText w:val="%8."/>
      <w:lvlJc w:val="left"/>
      <w:pPr>
        <w:ind w:left="8100" w:hanging="360"/>
      </w:pPr>
    </w:lvl>
    <w:lvl w:ilvl="8" w:tplc="0409001B">
      <w:start w:val="1"/>
      <w:numFmt w:val="lowerRoman"/>
      <w:lvlText w:val="%9."/>
      <w:lvlJc w:val="right"/>
      <w:pPr>
        <w:ind w:left="882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01C01"/>
    <w:multiLevelType w:val="hybridMultilevel"/>
    <w:tmpl w:val="073AB4D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20BD3"/>
    <w:multiLevelType w:val="hybridMultilevel"/>
    <w:tmpl w:val="3C3C4D82"/>
    <w:lvl w:ilvl="0" w:tplc="E118DE9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4FA2130"/>
    <w:multiLevelType w:val="hybridMultilevel"/>
    <w:tmpl w:val="201C5A7C"/>
    <w:lvl w:ilvl="0" w:tplc="A6826B64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81B2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F8623E"/>
    <w:multiLevelType w:val="hybridMultilevel"/>
    <w:tmpl w:val="C540E4BE"/>
    <w:lvl w:ilvl="0" w:tplc="10FAC556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91C12"/>
    <w:multiLevelType w:val="hybridMultilevel"/>
    <w:tmpl w:val="B532CF08"/>
    <w:lvl w:ilvl="0" w:tplc="909C4920">
      <w:start w:val="1"/>
      <w:numFmt w:val="upperRoman"/>
      <w:lvlText w:val="%1."/>
      <w:lvlJc w:val="right"/>
      <w:pPr>
        <w:ind w:left="1080" w:hanging="720"/>
      </w:pPr>
      <w:rPr>
        <w:b/>
        <w:sz w:val="20"/>
        <w:szCs w:val="20"/>
      </w:rPr>
    </w:lvl>
    <w:lvl w:ilvl="1" w:tplc="04F0CCB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bCs/>
      </w:rPr>
    </w:lvl>
    <w:lvl w:ilvl="2" w:tplc="D35C1958">
      <w:start w:val="1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34391"/>
    <w:multiLevelType w:val="hybridMultilevel"/>
    <w:tmpl w:val="26EA312C"/>
    <w:lvl w:ilvl="0" w:tplc="F54ABBF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56327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B2B7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B54EA"/>
    <w:multiLevelType w:val="hybridMultilevel"/>
    <w:tmpl w:val="179C0084"/>
    <w:lvl w:ilvl="0" w:tplc="35DEF74E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16D653B"/>
    <w:multiLevelType w:val="hybridMultilevel"/>
    <w:tmpl w:val="DFB6C6D6"/>
    <w:lvl w:ilvl="0" w:tplc="A574D826">
      <w:start w:val="3"/>
      <w:numFmt w:val="upperLetter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36CD7"/>
    <w:multiLevelType w:val="hybridMultilevel"/>
    <w:tmpl w:val="F6B626DC"/>
    <w:lvl w:ilvl="0" w:tplc="909C4920">
      <w:start w:val="1"/>
      <w:numFmt w:val="upperRoman"/>
      <w:lvlText w:val="%1."/>
      <w:lvlJc w:val="right"/>
      <w:pPr>
        <w:ind w:left="1080" w:hanging="720"/>
      </w:pPr>
      <w:rPr>
        <w:b/>
        <w:sz w:val="20"/>
        <w:szCs w:val="20"/>
      </w:rPr>
    </w:lvl>
    <w:lvl w:ilvl="1" w:tplc="7B444618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D35C1958">
      <w:start w:val="1"/>
      <w:numFmt w:val="decimal"/>
      <w:lvlText w:val="%3.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53BBA"/>
    <w:multiLevelType w:val="hybridMultilevel"/>
    <w:tmpl w:val="98CC3A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8A63CE"/>
    <w:multiLevelType w:val="hybridMultilevel"/>
    <w:tmpl w:val="49ACC8DE"/>
    <w:lvl w:ilvl="0" w:tplc="E9ECAF20">
      <w:start w:val="2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7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42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3"/>
  </w:num>
  <w:num w:numId="22" w16cid:durableId="1472481103">
    <w:abstractNumId w:val="34"/>
  </w:num>
  <w:num w:numId="23" w16cid:durableId="1997420403">
    <w:abstractNumId w:val="38"/>
  </w:num>
  <w:num w:numId="24" w16cid:durableId="33312838">
    <w:abstractNumId w:val="31"/>
  </w:num>
  <w:num w:numId="25" w16cid:durableId="507404939">
    <w:abstractNumId w:val="19"/>
  </w:num>
  <w:num w:numId="26" w16cid:durableId="1950313333">
    <w:abstractNumId w:val="26"/>
  </w:num>
  <w:num w:numId="27" w16cid:durableId="1866016584">
    <w:abstractNumId w:val="24"/>
  </w:num>
  <w:num w:numId="28" w16cid:durableId="13290902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910905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57135278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1570680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0975790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922898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414798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64759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28362748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64884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64944987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62928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8259502">
    <w:abstractNumId w:val="37"/>
  </w:num>
  <w:num w:numId="41" w16cid:durableId="753747203">
    <w:abstractNumId w:val="14"/>
  </w:num>
  <w:num w:numId="42" w16cid:durableId="1015889076">
    <w:abstractNumId w:val="32"/>
  </w:num>
  <w:num w:numId="43" w16cid:durableId="1172337412">
    <w:abstractNumId w:val="18"/>
  </w:num>
  <w:num w:numId="44" w16cid:durableId="1370304320">
    <w:abstractNumId w:val="11"/>
  </w:num>
  <w:num w:numId="45" w16cid:durableId="1477645951">
    <w:abstractNumId w:val="33"/>
  </w:num>
  <w:num w:numId="46" w16cid:durableId="630139373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08C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99C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5B10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4ED3"/>
    <w:rsid w:val="00355509"/>
    <w:rsid w:val="00355DCF"/>
    <w:rsid w:val="003569BC"/>
    <w:rsid w:val="003608FE"/>
    <w:rsid w:val="00360F75"/>
    <w:rsid w:val="00361AEE"/>
    <w:rsid w:val="00362CE9"/>
    <w:rsid w:val="00363BC7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50A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CB6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B4A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2C6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3A1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568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2D3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B38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A5E"/>
    <w:rsid w:val="00B33F87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2E7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FB9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63"/>
    <w:rsid w:val="00D06BF8"/>
    <w:rsid w:val="00D07FF9"/>
    <w:rsid w:val="00D10EEE"/>
    <w:rsid w:val="00D11F16"/>
    <w:rsid w:val="00D123F7"/>
    <w:rsid w:val="00D13A55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9E2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CE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15F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97F07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073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363BC7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7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nccn.org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nccn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nccn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7662B4-96ED-4533-AA3D-F5FABB518927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5354</Characters>
  <Application>Microsoft Office Word</Application>
  <DocSecurity>0</DocSecurity>
  <Lines>130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Bosulif 2171-A SGM 2024</vt:lpstr>
    </vt:vector>
  </TitlesOfParts>
  <Company>PCS Health Systems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Bosulif 2171-A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2024-12-31T02:16:00Z</dcterms:created>
  <dcterms:modified xsi:type="dcterms:W3CDTF">2024-12-31T02:17:00Z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1085700</vt:r8>
  </property>
</Properties>
</file>